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6D" w:rsidRPr="00AE416D" w:rsidRDefault="00996930" w:rsidP="002D4146">
      <w:pPr>
        <w:spacing w:after="0"/>
        <w:ind w:left="-284"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AE416D" w:rsidRPr="00AE416D">
        <w:rPr>
          <w:b/>
          <w:sz w:val="24"/>
          <w:szCs w:val="24"/>
        </w:rPr>
        <w:t>cte normative corespondente</w:t>
      </w:r>
      <w:r w:rsidR="0033273D">
        <w:rPr>
          <w:b/>
          <w:sz w:val="24"/>
          <w:szCs w:val="24"/>
        </w:rPr>
        <w:t xml:space="preserve"> pentru îndeplinirea</w:t>
      </w:r>
      <w:r w:rsidRPr="00996930">
        <w:rPr>
          <w:b/>
          <w:sz w:val="24"/>
          <w:szCs w:val="24"/>
        </w:rPr>
        <w:t xml:space="preserve"> </w:t>
      </w:r>
      <w:proofErr w:type="spellStart"/>
      <w:r w:rsidR="0033273D">
        <w:rPr>
          <w:b/>
          <w:sz w:val="24"/>
          <w:szCs w:val="24"/>
        </w:rPr>
        <w:t>c</w:t>
      </w:r>
      <w:r w:rsidRPr="00AE416D">
        <w:rPr>
          <w:b/>
          <w:sz w:val="24"/>
          <w:szCs w:val="24"/>
        </w:rPr>
        <w:t>ondiționalități</w:t>
      </w:r>
      <w:r w:rsidR="0033273D">
        <w:rPr>
          <w:b/>
          <w:sz w:val="24"/>
          <w:szCs w:val="24"/>
        </w:rPr>
        <w:t>lor</w:t>
      </w:r>
      <w:proofErr w:type="spellEnd"/>
      <w:r w:rsidRPr="00AE416D">
        <w:rPr>
          <w:b/>
          <w:sz w:val="24"/>
          <w:szCs w:val="24"/>
        </w:rPr>
        <w:t xml:space="preserve"> ex-ante</w:t>
      </w:r>
    </w:p>
    <w:tbl>
      <w:tblPr>
        <w:tblStyle w:val="TableGrid"/>
        <w:tblW w:w="1580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34"/>
        <w:gridCol w:w="2410"/>
        <w:gridCol w:w="4111"/>
        <w:gridCol w:w="1418"/>
        <w:gridCol w:w="5811"/>
        <w:gridCol w:w="1523"/>
      </w:tblGrid>
      <w:tr w:rsidR="003F718E" w:rsidRPr="002D4146" w:rsidTr="002D4146">
        <w:trPr>
          <w:tblHeader/>
        </w:trPr>
        <w:tc>
          <w:tcPr>
            <w:tcW w:w="534" w:type="dxa"/>
            <w:shd w:val="clear" w:color="auto" w:fill="D6E3BC" w:themeFill="accent3" w:themeFillTint="66"/>
          </w:tcPr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Nr. Crt.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Condiționalitate</w:t>
            </w:r>
          </w:p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Nr/denumire</w:t>
            </w:r>
          </w:p>
        </w:tc>
        <w:tc>
          <w:tcPr>
            <w:tcW w:w="4111" w:type="dxa"/>
            <w:shd w:val="clear" w:color="auto" w:fill="D6E3BC" w:themeFill="accent3" w:themeFillTint="66"/>
          </w:tcPr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Acțiune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Instituția responsabilă</w:t>
            </w:r>
          </w:p>
        </w:tc>
        <w:tc>
          <w:tcPr>
            <w:tcW w:w="5811" w:type="dxa"/>
            <w:shd w:val="clear" w:color="auto" w:fill="D6E3BC" w:themeFill="accent3" w:themeFillTint="66"/>
          </w:tcPr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Act normativ</w:t>
            </w:r>
          </w:p>
          <w:p w:rsidR="00AE416D" w:rsidRPr="002D4146" w:rsidRDefault="002D4146" w:rsidP="0033273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  <w:r w:rsidR="00AE416D" w:rsidRPr="002D4146">
              <w:rPr>
                <w:b/>
                <w:sz w:val="16"/>
                <w:szCs w:val="16"/>
              </w:rPr>
              <w:t xml:space="preserve">e elaborat/de </w:t>
            </w:r>
            <w:r w:rsidR="0033273D">
              <w:rPr>
                <w:b/>
                <w:sz w:val="16"/>
                <w:szCs w:val="16"/>
              </w:rPr>
              <w:t>modificat</w:t>
            </w:r>
          </w:p>
        </w:tc>
        <w:tc>
          <w:tcPr>
            <w:tcW w:w="1523" w:type="dxa"/>
            <w:shd w:val="clear" w:color="auto" w:fill="D6E3BC" w:themeFill="accent3" w:themeFillTint="66"/>
          </w:tcPr>
          <w:p w:rsidR="00AE416D" w:rsidRPr="002D4146" w:rsidRDefault="00AE416D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Termen</w:t>
            </w:r>
          </w:p>
          <w:p w:rsidR="007F0561" w:rsidRPr="002D4146" w:rsidRDefault="007F0561" w:rsidP="002D4146">
            <w:pPr>
              <w:jc w:val="center"/>
              <w:rPr>
                <w:b/>
                <w:sz w:val="16"/>
                <w:szCs w:val="16"/>
              </w:rPr>
            </w:pPr>
            <w:r w:rsidRPr="002D4146">
              <w:rPr>
                <w:b/>
                <w:sz w:val="16"/>
                <w:szCs w:val="16"/>
              </w:rPr>
              <w:t>2016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996930" w:rsidRPr="002D4146" w:rsidRDefault="00996930" w:rsidP="002D4146">
            <w:pPr>
              <w:jc w:val="both"/>
              <w:rPr>
                <w:b/>
                <w:i/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b/>
                <w:i/>
                <w:sz w:val="20"/>
                <w:szCs w:val="20"/>
              </w:rPr>
              <w:t>Condiționalității ex-ante privind achizițiile publice (</w:t>
            </w:r>
            <w:r w:rsidRPr="002D4146">
              <w:rPr>
                <w:b/>
                <w:i/>
                <w:sz w:val="20"/>
                <w:szCs w:val="20"/>
                <w:u w:val="single"/>
              </w:rPr>
              <w:t>aplicabilă tuturor programelor operaționale)</w:t>
            </w:r>
          </w:p>
        </w:tc>
        <w:tc>
          <w:tcPr>
            <w:tcW w:w="41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>Transpunerea noilor directive europene în materia achiziţiilor publice prin  4 acte normative separate (măsură comună cu Parlamentul României)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Adoptarea </w:t>
            </w:r>
            <w:r w:rsidRPr="002D4146">
              <w:rPr>
                <w:b/>
                <w:sz w:val="20"/>
                <w:szCs w:val="20"/>
              </w:rPr>
              <w:t>legilor</w:t>
            </w:r>
            <w:r w:rsidRPr="002D4146">
              <w:rPr>
                <w:sz w:val="20"/>
                <w:szCs w:val="20"/>
              </w:rPr>
              <w:t xml:space="preserve"> în Parlamentul României</w:t>
            </w:r>
          </w:p>
          <w:p w:rsidR="00996930" w:rsidRPr="002D4146" w:rsidRDefault="00996930" w:rsidP="002D41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Pachetul legislativ se află în procedură parlamentară de adoptare la nivelul Senatului (prima cameră sesizată).</w:t>
            </w:r>
            <w:r w:rsidR="002D4146" w:rsidRPr="002D4146">
              <w:rPr>
                <w:sz w:val="20"/>
                <w:szCs w:val="20"/>
              </w:rPr>
              <w:t xml:space="preserve"> </w:t>
            </w:r>
            <w:r w:rsidRPr="002D4146">
              <w:rPr>
                <w:sz w:val="20"/>
                <w:szCs w:val="20"/>
              </w:rPr>
              <w:t>Ulterior, pachetul legislativ urmează a fi promulgat de Președinte și publicat în Monitorul Oficial al României, partea I.</w:t>
            </w: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</w:tc>
      </w:tr>
      <w:tr w:rsidR="003F718E" w:rsidRPr="002D4146" w:rsidTr="002D4146">
        <w:trPr>
          <w:trHeight w:val="391"/>
        </w:trPr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996930" w:rsidRPr="002D4146" w:rsidRDefault="00996930" w:rsidP="002D4146">
            <w:pPr>
              <w:rPr>
                <w:rFonts w:eastAsia="Calibri"/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 xml:space="preserve">Adoptarea a </w:t>
            </w:r>
            <w:r w:rsidRPr="002D4146">
              <w:rPr>
                <w:rFonts w:eastAsia="Calibri"/>
                <w:b/>
                <w:sz w:val="20"/>
                <w:szCs w:val="20"/>
              </w:rPr>
              <w:t>trei Hotărâri de Guvern</w:t>
            </w:r>
            <w:r w:rsidRPr="002D4146">
              <w:rPr>
                <w:rFonts w:eastAsia="Calibri"/>
                <w:sz w:val="20"/>
                <w:szCs w:val="20"/>
              </w:rPr>
              <w:t xml:space="preserve"> separate (pentru </w:t>
            </w:r>
            <w:r w:rsidR="007F0561" w:rsidRPr="002D4146">
              <w:rPr>
                <w:rFonts w:eastAsia="Calibri"/>
                <w:sz w:val="20"/>
                <w:szCs w:val="20"/>
              </w:rPr>
              <w:t xml:space="preserve">normele de </w:t>
            </w:r>
            <w:r w:rsidRPr="002D4146">
              <w:rPr>
                <w:rFonts w:eastAsia="Calibri"/>
                <w:sz w:val="20"/>
                <w:szCs w:val="20"/>
              </w:rPr>
              <w:t>aplicare</w:t>
            </w:r>
            <w:r w:rsidR="007F0561" w:rsidRPr="002D4146">
              <w:rPr>
                <w:rFonts w:eastAsia="Calibri"/>
                <w:sz w:val="20"/>
                <w:szCs w:val="20"/>
              </w:rPr>
              <w:t xml:space="preserve"> </w:t>
            </w:r>
            <w:r w:rsidRPr="002D4146">
              <w:rPr>
                <w:rFonts w:eastAsia="Calibri"/>
                <w:sz w:val="20"/>
                <w:szCs w:val="20"/>
              </w:rPr>
              <w:t>a legilor de transpunere a noilor directive europene)</w:t>
            </w:r>
          </w:p>
        </w:tc>
        <w:tc>
          <w:tcPr>
            <w:tcW w:w="1418" w:type="dxa"/>
            <w:vMerge w:val="restart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  <w:vMerge w:val="restart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  <w:r w:rsidRPr="002D4146">
              <w:rPr>
                <w:sz w:val="20"/>
                <w:szCs w:val="20"/>
                <w:u w:val="single"/>
              </w:rPr>
              <w:t>Norme achiziții publice</w:t>
            </w: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  <w:r w:rsidRPr="002D4146">
              <w:rPr>
                <w:sz w:val="20"/>
                <w:szCs w:val="20"/>
                <w:u w:val="single"/>
              </w:rPr>
              <w:t xml:space="preserve">Norme utilități </w:t>
            </w: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  <w:u w:val="single"/>
              </w:rPr>
              <w:t>Norme concesiuni</w:t>
            </w:r>
          </w:p>
        </w:tc>
        <w:tc>
          <w:tcPr>
            <w:tcW w:w="1523" w:type="dxa"/>
            <w:vMerge w:val="restart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996930" w:rsidRPr="002D4146">
              <w:rPr>
                <w:sz w:val="20"/>
                <w:szCs w:val="20"/>
              </w:rPr>
              <w:t>prilie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i/>
                <w:sz w:val="18"/>
                <w:szCs w:val="18"/>
              </w:rPr>
            </w:pPr>
            <w:r w:rsidRPr="002D4146">
              <w:rPr>
                <w:i/>
                <w:sz w:val="18"/>
                <w:szCs w:val="18"/>
              </w:rPr>
              <w:t>60 de zile de la data intrării în vigoare a Legii privind achizițiile publice – iunie</w:t>
            </w:r>
          </w:p>
        </w:tc>
      </w:tr>
      <w:tr w:rsidR="003F718E" w:rsidRPr="002D4146" w:rsidTr="002D4146">
        <w:trPr>
          <w:trHeight w:val="118"/>
        </w:trPr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996930" w:rsidRPr="002D4146" w:rsidRDefault="00996930" w:rsidP="002D414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523" w:type="dxa"/>
            <w:vMerge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</w:tc>
      </w:tr>
      <w:tr w:rsidR="003F718E" w:rsidRPr="002D4146" w:rsidTr="002D4146">
        <w:trPr>
          <w:trHeight w:val="499"/>
        </w:trPr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996930" w:rsidRPr="002D4146" w:rsidRDefault="00996930" w:rsidP="002D414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523" w:type="dxa"/>
            <w:vMerge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2410" w:type="dxa"/>
            <w:vMerge w:val="restart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>Adoptarea Ordonanței pentru abrogarea prevederilor contrare Directivelor UE în materie de achiziții publice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b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ședință de guvern</w:t>
            </w: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996930" w:rsidRPr="002D4146">
              <w:rPr>
                <w:sz w:val="20"/>
                <w:szCs w:val="20"/>
              </w:rPr>
              <w:t>prilie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Clarificarea situației Ordonanței de urgență nr 51/2014 în ceea ce privește garanția de bună conduită (prin aprobarea Legii de abrogare a Ordonanței de urgență a Guvernului nr</w:t>
            </w:r>
            <w:r w:rsidR="002D4146">
              <w:rPr>
                <w:sz w:val="20"/>
                <w:szCs w:val="20"/>
              </w:rPr>
              <w:t>.</w:t>
            </w:r>
            <w:r w:rsidRPr="002D4146">
              <w:rPr>
                <w:sz w:val="20"/>
                <w:szCs w:val="20"/>
              </w:rPr>
              <w:t xml:space="preserve"> 51 / 2014 de către Parlament)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Adoptarea legii de respingere a OUG nr. 51/2014 în Parlamentul României</w:t>
            </w:r>
          </w:p>
          <w:p w:rsidR="00996930" w:rsidRPr="002D4146" w:rsidRDefault="00996930" w:rsidP="002D41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Publicare Monitor Oficial</w:t>
            </w:r>
          </w:p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</w:t>
            </w:r>
            <w:r w:rsidR="00996930" w:rsidRPr="002D4146">
              <w:rPr>
                <w:sz w:val="20"/>
                <w:szCs w:val="20"/>
              </w:rPr>
              <w:t>artie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Adoptarea cadrului legal pentru a permite organismului de control ex-ante sa aplice masuri corective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 și promovare cadru legislativ pentru aplicare măsuri corective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ședința de guvern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noiembrie 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Abrogarea regulii de excludere automată a operatorilor economici prin adoptarea ordonanței de urgență a Guvernului „clean the past” 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ANAP, MFP, SGG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Abrogarea prevederilor art. 69 ale  Ordonanței de urgență a Guvernului nr. 34/2006 privind excluderea automata, deținerea unei acțiuni si gradul patru de rudenie</w:t>
            </w: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996930" w:rsidRPr="002D4146">
              <w:rPr>
                <w:sz w:val="20"/>
                <w:szCs w:val="20"/>
              </w:rPr>
              <w:t>prilie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Stabilirea unui sistem de sancțiuni descurajatoare, vizând autoritățile contractante)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ANAP, MFP, SGG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Adoptarea legilor de transpunere a directivelor</w:t>
            </w: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996930" w:rsidRPr="002D4146">
              <w:rPr>
                <w:sz w:val="20"/>
                <w:szCs w:val="20"/>
              </w:rPr>
              <w:t>prilie</w:t>
            </w:r>
          </w:p>
        </w:tc>
      </w:tr>
      <w:tr w:rsidR="003F718E" w:rsidRPr="002D4146" w:rsidTr="002D4146">
        <w:trPr>
          <w:trHeight w:val="936"/>
        </w:trPr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Profesionalizarea activităților desfășurate în domeniul achizițiilor publice: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4"/>
              </w:numPr>
              <w:ind w:left="176" w:hanging="142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Reglementarea unei funcții generale cu denumire specifică pentru personalul cu atribuții în domeniul achizițiilor publice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4"/>
              </w:numPr>
              <w:ind w:left="176" w:hanging="142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Modificarea Legii 188/1999, republicată, cu modifcarile și completările ulterioare, pentru introducerea noii funcții generale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Elaborarea și promovarea proiectului de modificare a Legii nr. 188/1999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Guvern / Parlament</w:t>
            </w:r>
          </w:p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o</w:t>
            </w:r>
            <w:r w:rsidR="00996930" w:rsidRPr="002D4146">
              <w:rPr>
                <w:sz w:val="20"/>
                <w:szCs w:val="20"/>
              </w:rPr>
              <w:t>ctombrie</w:t>
            </w:r>
          </w:p>
        </w:tc>
      </w:tr>
      <w:tr w:rsidR="003F718E" w:rsidRPr="002D4146" w:rsidTr="002D4146">
        <w:trPr>
          <w:trHeight w:val="398"/>
        </w:trPr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Planificarea tranziției la  trecerea integrală la procedurile de achiziții online  (e-procurement)</w:t>
            </w:r>
          </w:p>
        </w:tc>
        <w:tc>
          <w:tcPr>
            <w:tcW w:w="1418" w:type="dxa"/>
          </w:tcPr>
          <w:p w:rsidR="00996930" w:rsidRPr="002D4146" w:rsidRDefault="007F0561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  <w:r w:rsidRPr="002D4146">
              <w:rPr>
                <w:sz w:val="20"/>
                <w:szCs w:val="20"/>
                <w:u w:val="single"/>
              </w:rPr>
              <w:t>Lege achiziții publice</w:t>
            </w: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  <w:u w:val="single"/>
              </w:rPr>
              <w:t>Norme achiziții publice</w:t>
            </w:r>
          </w:p>
        </w:tc>
        <w:tc>
          <w:tcPr>
            <w:tcW w:w="1523" w:type="dxa"/>
          </w:tcPr>
          <w:p w:rsidR="00996930" w:rsidRPr="002D4146" w:rsidRDefault="007F0561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996930" w:rsidRPr="002D4146">
              <w:rPr>
                <w:sz w:val="20"/>
                <w:szCs w:val="20"/>
              </w:rPr>
              <w:t>prilie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iunie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>Sistemul Prevent va deveni operațional și obligatoriu</w:t>
            </w:r>
          </w:p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ANI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Proiect de lege pentru aprobare utilizarii mecanismului</w:t>
            </w:r>
          </w:p>
          <w:p w:rsidR="00996930" w:rsidRPr="002D4146" w:rsidRDefault="00996930" w:rsidP="002D41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Adoptarea legii în Parlamentul României</w:t>
            </w:r>
          </w:p>
          <w:p w:rsidR="00996930" w:rsidRPr="002D4146" w:rsidRDefault="00996930" w:rsidP="002D414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  <w:u w:val="single"/>
              </w:rPr>
            </w:pPr>
            <w:r w:rsidRPr="002D4146">
              <w:rPr>
                <w:sz w:val="20"/>
                <w:szCs w:val="20"/>
              </w:rPr>
              <w:t>Publicare Monitor Oficial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aprilie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Intrarea in vigoare a noului sistem de remedii și căi de atac, cu CNSC ca primă instanță (acces gratuit) și Curtea de Apel ca instanță superioară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CNSC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Proiectul de lege privind remediile şi căile de atac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2"/>
              </w:numPr>
              <w:tabs>
                <w:tab w:val="left" w:pos="401"/>
              </w:tabs>
              <w:ind w:left="175" w:hanging="142"/>
              <w:jc w:val="both"/>
              <w:rPr>
                <w:rFonts w:asciiTheme="minorHAnsi" w:hAnsiTheme="minorHAnsi"/>
                <w:sz w:val="20"/>
                <w:szCs w:val="20"/>
                <w:lang w:val="fr-FR"/>
              </w:rPr>
            </w:pPr>
            <w:proofErr w:type="spellStart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>Adoptarea</w:t>
            </w:r>
            <w:proofErr w:type="spellEnd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>proiectului</w:t>
            </w:r>
            <w:proofErr w:type="spellEnd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de lege de </w:t>
            </w:r>
            <w:proofErr w:type="spellStart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>Parlamentul</w:t>
            </w:r>
            <w:proofErr w:type="spellEnd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D4146">
              <w:rPr>
                <w:rFonts w:asciiTheme="minorHAnsi" w:hAnsiTheme="minorHAnsi"/>
                <w:sz w:val="20"/>
                <w:szCs w:val="20"/>
                <w:lang w:val="fr-FR"/>
              </w:rPr>
              <w:t>României</w:t>
            </w:r>
            <w:proofErr w:type="spellEnd"/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Publicare Monitor Oficial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aprilie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Modificarea Hotărârii Guvernului nr. 28/2008</w:t>
            </w:r>
            <w:r w:rsidRPr="002D4146">
              <w:rPr>
                <w:rStyle w:val="Heading1Char"/>
                <w:rFonts w:asciiTheme="minorHAnsi" w:eastAsia="Calibri" w:hAnsiTheme="minorHAnsi" w:cs="Times New Roman"/>
                <w:sz w:val="20"/>
                <w:szCs w:val="20"/>
                <w:lang w:val="ro-RO"/>
              </w:rPr>
              <w:t xml:space="preserve"> </w:t>
            </w:r>
            <w:r w:rsidRPr="002D4146">
              <w:rPr>
                <w:sz w:val="20"/>
                <w:szCs w:val="20"/>
              </w:rPr>
              <w:t>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MDRAP</w:t>
            </w:r>
          </w:p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Elaborarea și promovarea proiectului de act normativ de modificare a HG nr. 28/2008, pe baza propunerilor formulate de MFP</w:t>
            </w:r>
            <w:r w:rsidR="007F0561" w:rsidRPr="002D4146">
              <w:rPr>
                <w:sz w:val="20"/>
                <w:szCs w:val="20"/>
              </w:rPr>
              <w:t>, MFE și MT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ședință de Guvern</w:t>
            </w: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mai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Resurse umane suficiente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MFP, 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b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Aprobarea, la nivelul MFP, de resurse umane suplimentare care să asigure îndeplinirea funcţiilor noi stabilite în responsabilitatea ANAP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 xml:space="preserve">Elaborare si promovare proiect act normativ de modificare a HG nr. 634/28 iulie 2015 privind organizarea şi funcţionarea ANAP, pentru asigurare posturi suplimentare 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Aprobare în ședință de Guvern a actului normativ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aprilie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iulie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contextualSpacing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Nivel adecvat de salarizare (Legea de aprobare a Ordonanței de urgență a Guvernului </w:t>
            </w:r>
            <w:r w:rsidR="007F0561" w:rsidRPr="002D4146">
              <w:rPr>
                <w:sz w:val="20"/>
                <w:szCs w:val="20"/>
              </w:rPr>
              <w:t>nr.</w:t>
            </w:r>
            <w:r w:rsidRPr="002D4146">
              <w:rPr>
                <w:sz w:val="20"/>
                <w:szCs w:val="20"/>
              </w:rPr>
              <w:t>13/2015)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MFP, ANAP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Identificare unei soluții pentru creștere suplimentară a salariilor personalului ANAP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Elaborare și promovare act normativ/proiect modificatre act normativ care să reglementeze creșterea nivelului de salarizare ANAP, dacă este cazul, în funcție de rezultatul etapei de mai sus</w:t>
            </w:r>
          </w:p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Aprobare în ședință de Guvern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iulie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august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septembrie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Modificarea și completarea Ordonanței Guvernului nr. 119/1999 privind controlul intern/managerial și controlul financiar preventiv, republicată, cu modificările și completările ulterioare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Elaborare și promovare proiect act normativ de modificare a  OG nr. 119/1999 (Regulile de integritate aplicabile controlorilor FP vor fi intarite prin proiectul de modificare a Ordonanței Guvernului nr. 119/1999)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ședință de Guvern</w:t>
            </w:r>
          </w:p>
        </w:tc>
        <w:tc>
          <w:tcPr>
            <w:tcW w:w="1523" w:type="dxa"/>
          </w:tcPr>
          <w:p w:rsidR="0099693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</w:tc>
      </w:tr>
      <w:tr w:rsidR="003F718E" w:rsidRPr="002D4146" w:rsidTr="002D4146">
        <w:trPr>
          <w:trHeight w:val="712"/>
        </w:trPr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Adaptarea condițiilor contractuale </w:t>
            </w:r>
            <w:r w:rsidR="006D517A" w:rsidRPr="002D4146">
              <w:rPr>
                <w:sz w:val="20"/>
                <w:szCs w:val="20"/>
              </w:rPr>
              <w:t>(</w:t>
            </w:r>
            <w:r w:rsidRPr="002D4146">
              <w:rPr>
                <w:sz w:val="20"/>
                <w:szCs w:val="20"/>
              </w:rPr>
              <w:t>FIDIC</w:t>
            </w:r>
            <w:r w:rsidR="006D517A" w:rsidRPr="002D4146">
              <w:rPr>
                <w:sz w:val="20"/>
                <w:szCs w:val="20"/>
              </w:rPr>
              <w:t>) la</w:t>
            </w:r>
            <w:r w:rsidRPr="002D4146">
              <w:rPr>
                <w:sz w:val="20"/>
                <w:szCs w:val="20"/>
              </w:rPr>
              <w:t xml:space="preserve"> legislația națională</w:t>
            </w:r>
          </w:p>
        </w:tc>
        <w:tc>
          <w:tcPr>
            <w:tcW w:w="1418" w:type="dxa"/>
          </w:tcPr>
          <w:p w:rsidR="006D517A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</w:t>
            </w:r>
            <w:r w:rsidR="006D517A" w:rsidRPr="002D4146">
              <w:rPr>
                <w:b/>
                <w:sz w:val="20"/>
                <w:szCs w:val="20"/>
              </w:rPr>
              <w:t xml:space="preserve"> MDRAP,</w:t>
            </w:r>
          </w:p>
          <w:p w:rsidR="00996930" w:rsidRPr="002D4146" w:rsidRDefault="006D517A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MFE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 și promovare act normativ pentru adoptarea condițiilor contractuale standard la nivel național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ședință de guvern</w:t>
            </w:r>
          </w:p>
        </w:tc>
        <w:tc>
          <w:tcPr>
            <w:tcW w:w="1523" w:type="dxa"/>
          </w:tcPr>
          <w:p w:rsidR="006D517A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Configurarea unei unități de achiziții centralizate</w:t>
            </w:r>
            <w:r w:rsidR="006D517A" w:rsidRPr="002D4146">
              <w:rPr>
                <w:sz w:val="20"/>
                <w:szCs w:val="20"/>
              </w:rPr>
              <w:t xml:space="preserve"> (UCA)</w:t>
            </w:r>
            <w:r w:rsidRPr="002D4146">
              <w:rPr>
                <w:sz w:val="20"/>
                <w:szCs w:val="20"/>
              </w:rPr>
              <w:t xml:space="preserve"> în cadrul MFP (obligatorie pentru bunurile selectate pentru administrația centrală) prin:</w:t>
            </w: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lastRenderedPageBreak/>
              <w:t>1. Proceduri interne, metodologii, norme de organizare și funcționare</w:t>
            </w:r>
          </w:p>
        </w:tc>
        <w:tc>
          <w:tcPr>
            <w:tcW w:w="1418" w:type="dxa"/>
          </w:tcPr>
          <w:p w:rsidR="006D517A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lastRenderedPageBreak/>
              <w:t>MFP</w:t>
            </w:r>
            <w:r w:rsidR="006D517A" w:rsidRPr="002D4146">
              <w:rPr>
                <w:b/>
                <w:sz w:val="20"/>
                <w:szCs w:val="20"/>
              </w:rPr>
              <w:t xml:space="preserve">, </w:t>
            </w:r>
          </w:p>
          <w:p w:rsidR="006D517A" w:rsidRPr="002D4146" w:rsidRDefault="006D517A" w:rsidP="002D41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 și promovare act normativ pentru modificare HG 34/2009 de organizare și funcționare MFP pentru configurarea unității de achiziții centralizate în cadrul MFP</w:t>
            </w:r>
          </w:p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iulie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6D517A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2. Configurarea </w:t>
            </w:r>
            <w:r w:rsidR="00996930" w:rsidRPr="002D4146">
              <w:rPr>
                <w:sz w:val="20"/>
                <w:szCs w:val="20"/>
              </w:rPr>
              <w:t>cadrului legal pentru funcționarea UCA pe baza rezultatului studiului de fezabilitate (ex. stabilirea sectoarelor de achiziții relevante)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Elaborare și promovare act normativ de înființare a UCA pentru sectoarele identificate prin studiul de fezabilitate 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 xml:space="preserve">  </w:t>
            </w:r>
            <w:r w:rsidRPr="002D4146">
              <w:rPr>
                <w:sz w:val="20"/>
                <w:szCs w:val="20"/>
              </w:rPr>
              <w:t>Aprobare în ședință de guvern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august</w:t>
            </w:r>
          </w:p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octombrie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Stabilirea sectoarelor de dezvoltare a consorțiilor de AC în conformitate cu rezultatele studiului de fezabilitate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Elaborare/ aprobare, după caz, a cadrului legal de stabilire a sectoarelor de dezvoltare a consorțiilor de AC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decembrie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Stabilirea cadrului legal privind situațiile obligatorii în care se recurge la sprijinul UCA sau al consorțiilor de AC, pe sectoarele identificate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MFP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 și promovare cadru legal pentru situațiile obligatorii în care se recurge la sprijinul UCA sau al consorțiilor de AC</w:t>
            </w:r>
          </w:p>
          <w:p w:rsidR="00996930" w:rsidRPr="002D4146" w:rsidRDefault="00996930" w:rsidP="002D41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2" w:hanging="192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ședință de guvern, după caz</w:t>
            </w:r>
          </w:p>
        </w:tc>
        <w:tc>
          <w:tcPr>
            <w:tcW w:w="1523" w:type="dxa"/>
          </w:tcPr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octombrie</w:t>
            </w: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</w:p>
          <w:p w:rsidR="00996930" w:rsidRPr="002D4146" w:rsidRDefault="0099693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decembrie</w:t>
            </w:r>
          </w:p>
        </w:tc>
      </w:tr>
      <w:tr w:rsidR="003F718E" w:rsidRPr="002D4146" w:rsidTr="002D4146">
        <w:trPr>
          <w:trHeight w:val="1243"/>
        </w:trPr>
        <w:tc>
          <w:tcPr>
            <w:tcW w:w="534" w:type="dxa"/>
          </w:tcPr>
          <w:p w:rsidR="00AE416D" w:rsidRPr="002D4146" w:rsidRDefault="00AE416D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AE416D" w:rsidRPr="002D4146" w:rsidRDefault="009F773D" w:rsidP="002D4146">
            <w:pPr>
              <w:rPr>
                <w:b/>
                <w:i/>
                <w:sz w:val="20"/>
                <w:szCs w:val="20"/>
              </w:rPr>
            </w:pPr>
            <w:r w:rsidRPr="002D4146">
              <w:rPr>
                <w:b/>
                <w:i/>
                <w:sz w:val="20"/>
                <w:szCs w:val="20"/>
              </w:rPr>
              <w:t>10.4 Existența unui cadru strategic de politică națională sau regională pentru creșterea calității și eficienței sistemelor de educație și formare profesională (EFP</w:t>
            </w:r>
            <w:r w:rsidR="002D4146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4111" w:type="dxa"/>
          </w:tcPr>
          <w:p w:rsidR="00AE416D" w:rsidRPr="002D4146" w:rsidRDefault="009F773D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Elaborarea </w:t>
            </w:r>
            <w:r w:rsidRPr="002D4146">
              <w:rPr>
                <w:i/>
                <w:sz w:val="20"/>
                <w:szCs w:val="20"/>
              </w:rPr>
              <w:t xml:space="preserve">Strategiei Educației și Formării profesionale </w:t>
            </w:r>
            <w:r w:rsidRPr="002D4146">
              <w:rPr>
                <w:sz w:val="20"/>
                <w:szCs w:val="20"/>
              </w:rPr>
              <w:t>din România pentru perioada 2015-2020 care va răspunde tuturor criteriilor aferente condiționalității</w:t>
            </w:r>
          </w:p>
        </w:tc>
        <w:tc>
          <w:tcPr>
            <w:tcW w:w="1418" w:type="dxa"/>
          </w:tcPr>
          <w:p w:rsidR="00AE416D" w:rsidRPr="002D4146" w:rsidRDefault="009F773D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MENCȘ</w:t>
            </w:r>
          </w:p>
        </w:tc>
        <w:tc>
          <w:tcPr>
            <w:tcW w:w="5811" w:type="dxa"/>
          </w:tcPr>
          <w:p w:rsidR="009F773D" w:rsidRPr="002D4146" w:rsidRDefault="009F773D" w:rsidP="002D4146">
            <w:pPr>
              <w:jc w:val="both"/>
              <w:rPr>
                <w:rFonts w:eastAsia="Calibri"/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>Adoptarea prin hotărâre de guvern a Strategiei revizuite,</w:t>
            </w:r>
            <w:r w:rsidRPr="002D4146">
              <w:rPr>
                <w:b/>
                <w:sz w:val="20"/>
                <w:szCs w:val="20"/>
              </w:rPr>
              <w:t xml:space="preserve"> </w:t>
            </w:r>
          </w:p>
          <w:p w:rsidR="00AE416D" w:rsidRPr="002D4146" w:rsidRDefault="00AE416D" w:rsidP="002D4146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AE416D" w:rsidRPr="002D4146" w:rsidRDefault="009F773D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aprilie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996930" w:rsidRPr="002D4146" w:rsidRDefault="00996930" w:rsidP="002D4146">
            <w:pPr>
              <w:jc w:val="both"/>
              <w:rPr>
                <w:b/>
                <w:i/>
                <w:sz w:val="20"/>
                <w:szCs w:val="20"/>
              </w:rPr>
            </w:pPr>
            <w:r w:rsidRPr="002D4146">
              <w:rPr>
                <w:b/>
                <w:i/>
                <w:sz w:val="20"/>
                <w:szCs w:val="20"/>
              </w:rPr>
              <w:t xml:space="preserve">7.1, 7.2, 7.3 – Sectorul transport (rutier, feroviar, naval și altele – îmbunătățirea conectivității, în special cu TEN-T) </w:t>
            </w:r>
          </w:p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rFonts w:cstheme="minorHAnsi"/>
                <w:iCs/>
                <w:sz w:val="20"/>
                <w:szCs w:val="20"/>
              </w:rPr>
              <w:t>Aprobarea MPGT printr-un act normativ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MT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rPr>
                <w:sz w:val="20"/>
                <w:szCs w:val="20"/>
                <w:u w:val="single"/>
              </w:rPr>
            </w:pPr>
            <w:r w:rsidRPr="002D4146">
              <w:rPr>
                <w:sz w:val="20"/>
                <w:szCs w:val="20"/>
                <w:u w:val="single"/>
              </w:rPr>
              <w:t>Lege privind adoptare MPGT</w:t>
            </w:r>
          </w:p>
          <w:p w:rsidR="00996930" w:rsidRPr="002D4146" w:rsidRDefault="00996930" w:rsidP="002D414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ședință de Guvern</w:t>
            </w:r>
            <w:r w:rsidRPr="002D4146">
              <w:rPr>
                <w:b/>
                <w:sz w:val="20"/>
                <w:szCs w:val="20"/>
              </w:rPr>
              <w:t xml:space="preserve"> </w:t>
            </w:r>
          </w:p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Aprobare în Parlament a proiectului de Lege </w:t>
            </w:r>
          </w:p>
        </w:tc>
        <w:tc>
          <w:tcPr>
            <w:tcW w:w="1523" w:type="dxa"/>
          </w:tcPr>
          <w:p w:rsidR="0099693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</w:t>
            </w:r>
            <w:r w:rsidR="00996930" w:rsidRPr="002D4146">
              <w:rPr>
                <w:sz w:val="20"/>
                <w:szCs w:val="20"/>
              </w:rPr>
              <w:t>artie</w:t>
            </w:r>
          </w:p>
          <w:p w:rsidR="0099693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</w:t>
            </w:r>
            <w:r w:rsidR="00996930" w:rsidRPr="002D4146">
              <w:rPr>
                <w:sz w:val="20"/>
                <w:szCs w:val="20"/>
              </w:rPr>
              <w:t>unie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>Înființarea Autorității pentru Reforma Feroviară (ARF)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MT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jc w:val="both"/>
              <w:rPr>
                <w:b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Elaborare HG privind înfiinţarea ARF</w:t>
            </w:r>
            <w:r w:rsidRPr="002D4146">
              <w:rPr>
                <w:b/>
                <w:sz w:val="20"/>
                <w:szCs w:val="20"/>
              </w:rPr>
              <w:t xml:space="preserve">  </w:t>
            </w:r>
          </w:p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 în ședință de Guvern</w:t>
            </w:r>
            <w:r w:rsidRPr="002D414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3" w:type="dxa"/>
          </w:tcPr>
          <w:p w:rsidR="0099693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februarie</w:t>
            </w:r>
          </w:p>
          <w:p w:rsidR="0099693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996930" w:rsidRPr="002D4146">
              <w:rPr>
                <w:sz w:val="20"/>
                <w:szCs w:val="20"/>
              </w:rPr>
              <w:t>prilie</w:t>
            </w:r>
          </w:p>
        </w:tc>
      </w:tr>
      <w:tr w:rsidR="003F718E" w:rsidRPr="002D4146" w:rsidTr="002D4146">
        <w:tc>
          <w:tcPr>
            <w:tcW w:w="534" w:type="dxa"/>
          </w:tcPr>
          <w:p w:rsidR="00996930" w:rsidRPr="002D4146" w:rsidRDefault="0099693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Semnarea contractului de servicii publice între MT şi Metrorex</w:t>
            </w:r>
          </w:p>
        </w:tc>
        <w:tc>
          <w:tcPr>
            <w:tcW w:w="1418" w:type="dxa"/>
          </w:tcPr>
          <w:p w:rsidR="00996930" w:rsidRPr="002D4146" w:rsidRDefault="0099693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MT</w:t>
            </w:r>
          </w:p>
          <w:p w:rsidR="006D517A" w:rsidRPr="002D4146" w:rsidRDefault="006D517A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MDRAP</w:t>
            </w:r>
          </w:p>
        </w:tc>
        <w:tc>
          <w:tcPr>
            <w:tcW w:w="5811" w:type="dxa"/>
          </w:tcPr>
          <w:p w:rsidR="00996930" w:rsidRPr="002D4146" w:rsidRDefault="0099693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Modificarea Legii </w:t>
            </w:r>
            <w:r w:rsidR="006D517A" w:rsidRPr="002D4146">
              <w:rPr>
                <w:sz w:val="20"/>
                <w:szCs w:val="20"/>
              </w:rPr>
              <w:t>nr.</w:t>
            </w:r>
            <w:r w:rsidRPr="002D4146">
              <w:rPr>
                <w:sz w:val="20"/>
                <w:szCs w:val="20"/>
              </w:rPr>
              <w:t>92/2007 privind serviciile de transport public local</w:t>
            </w:r>
          </w:p>
        </w:tc>
        <w:tc>
          <w:tcPr>
            <w:tcW w:w="1523" w:type="dxa"/>
          </w:tcPr>
          <w:p w:rsidR="0099693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martie</w:t>
            </w:r>
          </w:p>
        </w:tc>
      </w:tr>
      <w:tr w:rsidR="003F718E" w:rsidRPr="002D4146" w:rsidTr="002D4146">
        <w:tc>
          <w:tcPr>
            <w:tcW w:w="534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442640" w:rsidRPr="002D4146" w:rsidRDefault="00442640" w:rsidP="002D4146">
            <w:pPr>
              <w:ind w:left="710" w:hanging="568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  <w:p w:rsidR="00442640" w:rsidRPr="002D4146" w:rsidRDefault="00442640" w:rsidP="002D4146">
            <w:pPr>
              <w:ind w:left="710" w:hanging="568"/>
              <w:jc w:val="center"/>
              <w:rPr>
                <w:rFonts w:eastAsia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vMerge w:val="restart"/>
          </w:tcPr>
          <w:p w:rsidR="00442640" w:rsidRPr="002D4146" w:rsidRDefault="00442640" w:rsidP="002D4146">
            <w:pPr>
              <w:jc w:val="both"/>
              <w:rPr>
                <w:b/>
                <w:i/>
                <w:sz w:val="20"/>
                <w:szCs w:val="20"/>
              </w:rPr>
            </w:pPr>
            <w:r w:rsidRPr="002D4146">
              <w:rPr>
                <w:b/>
                <w:i/>
                <w:sz w:val="20"/>
                <w:szCs w:val="20"/>
              </w:rPr>
              <w:t>5.1. Prevenirea și gestionarea riscurilor</w:t>
            </w:r>
          </w:p>
          <w:p w:rsidR="00442640" w:rsidRPr="002D4146" w:rsidRDefault="0044264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442640" w:rsidRPr="002D4146" w:rsidRDefault="00442640" w:rsidP="002D41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 - operaționalizarea  Strategiei Naționale privind Schimbările Climatice </w:t>
            </w:r>
          </w:p>
          <w:p w:rsidR="00442640" w:rsidRPr="002D4146" w:rsidRDefault="00442640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- elaborarea Planului Național de Acțiune privind Schimbările Climatice</w:t>
            </w:r>
          </w:p>
        </w:tc>
        <w:tc>
          <w:tcPr>
            <w:tcW w:w="1418" w:type="dxa"/>
          </w:tcPr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MMAP</w:t>
            </w:r>
          </w:p>
        </w:tc>
        <w:tc>
          <w:tcPr>
            <w:tcW w:w="5811" w:type="dxa"/>
          </w:tcPr>
          <w:p w:rsidR="00442640" w:rsidRPr="002D4146" w:rsidRDefault="00442640" w:rsidP="002D4146">
            <w:pPr>
              <w:pStyle w:val="ListParagraph"/>
              <w:autoSpaceDE w:val="0"/>
              <w:autoSpaceDN w:val="0"/>
              <w:adjustRightInd w:val="0"/>
              <w:ind w:left="13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sz w:val="20"/>
                <w:szCs w:val="20"/>
                <w:lang w:val="ro-RO"/>
              </w:rPr>
              <w:t>Proiectul de HG de aprobare a Strategiei și Planului de acțiune este elaborat și se află în procedura de aprobare internă la nivelul MMAP.</w:t>
            </w:r>
          </w:p>
          <w:p w:rsidR="00442640" w:rsidRPr="002D4146" w:rsidRDefault="00442640" w:rsidP="002D4146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442640" w:rsidRPr="002D4146" w:rsidRDefault="006D517A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</w:t>
            </w:r>
            <w:r w:rsidR="00442640" w:rsidRPr="002D4146">
              <w:rPr>
                <w:sz w:val="20"/>
                <w:szCs w:val="20"/>
              </w:rPr>
              <w:t>ugust</w:t>
            </w:r>
          </w:p>
        </w:tc>
      </w:tr>
      <w:tr w:rsidR="003F718E" w:rsidRPr="002D4146" w:rsidTr="002D4146">
        <w:tc>
          <w:tcPr>
            <w:tcW w:w="534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42640" w:rsidRPr="002D4146" w:rsidRDefault="00442640" w:rsidP="002D4146">
            <w:pPr>
              <w:rPr>
                <w:rFonts w:cs="Calibri"/>
                <w:b/>
                <w:i/>
                <w:sz w:val="20"/>
                <w:szCs w:val="20"/>
              </w:rPr>
            </w:pPr>
          </w:p>
        </w:tc>
        <w:tc>
          <w:tcPr>
            <w:tcW w:w="4111" w:type="dxa"/>
          </w:tcPr>
          <w:p w:rsidR="00442640" w:rsidRPr="002D4146" w:rsidRDefault="00442640" w:rsidP="002D41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Aprobarea cadrului național de reglementare pentru funcționarea Platformei Naționale de Management al Riscului la Dezastre, inclusiv GLERN</w:t>
            </w:r>
          </w:p>
        </w:tc>
        <w:tc>
          <w:tcPr>
            <w:tcW w:w="1418" w:type="dxa"/>
          </w:tcPr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MAI - IGSU</w:t>
            </w:r>
          </w:p>
        </w:tc>
        <w:tc>
          <w:tcPr>
            <w:tcW w:w="5811" w:type="dxa"/>
          </w:tcPr>
          <w:p w:rsidR="00442640" w:rsidRPr="002D4146" w:rsidRDefault="00442640" w:rsidP="002D4146">
            <w:pPr>
              <w:autoSpaceDE w:val="0"/>
              <w:autoSpaceDN w:val="0"/>
              <w:adjustRightInd w:val="0"/>
              <w:ind w:left="33"/>
              <w:jc w:val="both"/>
              <w:rPr>
                <w:b/>
                <w:bCs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Proiect de HG privind PN</w:t>
            </w:r>
            <w:r w:rsidR="00434228" w:rsidRPr="002D4146">
              <w:rPr>
                <w:sz w:val="20"/>
                <w:szCs w:val="20"/>
              </w:rPr>
              <w:t>M</w:t>
            </w:r>
            <w:r w:rsidRPr="002D4146">
              <w:rPr>
                <w:sz w:val="20"/>
                <w:szCs w:val="20"/>
              </w:rPr>
              <w:t>RD</w:t>
            </w:r>
            <w:r w:rsidRPr="002D4146">
              <w:rPr>
                <w:b/>
                <w:sz w:val="20"/>
                <w:szCs w:val="20"/>
              </w:rPr>
              <w:t xml:space="preserve"> </w:t>
            </w:r>
          </w:p>
          <w:p w:rsidR="00442640" w:rsidRPr="002D4146" w:rsidRDefault="00442640" w:rsidP="002D4146">
            <w:pPr>
              <w:autoSpaceDE w:val="0"/>
              <w:autoSpaceDN w:val="0"/>
              <w:adjustRightInd w:val="0"/>
              <w:ind w:left="33"/>
              <w:jc w:val="both"/>
              <w:rPr>
                <w:b/>
                <w:bCs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avizare interministerială</w:t>
            </w:r>
            <w:r w:rsidRPr="002D4146">
              <w:rPr>
                <w:b/>
                <w:sz w:val="20"/>
                <w:szCs w:val="20"/>
              </w:rPr>
              <w:t xml:space="preserve"> </w:t>
            </w:r>
          </w:p>
          <w:p w:rsidR="00442640" w:rsidRPr="002D4146" w:rsidRDefault="00442640" w:rsidP="002D4146">
            <w:pPr>
              <w:autoSpaceDE w:val="0"/>
              <w:autoSpaceDN w:val="0"/>
              <w:adjustRightInd w:val="0"/>
              <w:ind w:left="33"/>
              <w:jc w:val="both"/>
              <w:rPr>
                <w:b/>
                <w:bCs/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publicare în MO</w:t>
            </w:r>
          </w:p>
          <w:p w:rsidR="00442640" w:rsidRPr="002D4146" w:rsidRDefault="00442640" w:rsidP="002D4146">
            <w:pPr>
              <w:pStyle w:val="ListParagraph"/>
              <w:autoSpaceDE w:val="0"/>
              <w:autoSpaceDN w:val="0"/>
              <w:adjustRightInd w:val="0"/>
              <w:ind w:left="13"/>
              <w:contextualSpacing w:val="0"/>
              <w:jc w:val="both"/>
              <w:rPr>
                <w:rFonts w:asciiTheme="minorHAnsi" w:hAnsiTheme="minorHAnsi"/>
                <w:sz w:val="20"/>
                <w:szCs w:val="20"/>
                <w:lang w:val="ro-RO"/>
              </w:rPr>
            </w:pPr>
          </w:p>
        </w:tc>
        <w:tc>
          <w:tcPr>
            <w:tcW w:w="1523" w:type="dxa"/>
          </w:tcPr>
          <w:p w:rsidR="00442640" w:rsidRPr="002D4146" w:rsidRDefault="00442640" w:rsidP="002D4146">
            <w:pPr>
              <w:jc w:val="center"/>
              <w:rPr>
                <w:bCs/>
                <w:sz w:val="20"/>
                <w:szCs w:val="20"/>
              </w:rPr>
            </w:pPr>
            <w:r w:rsidRPr="002D4146">
              <w:rPr>
                <w:bCs/>
                <w:sz w:val="20"/>
                <w:szCs w:val="20"/>
              </w:rPr>
              <w:t>iunie</w:t>
            </w:r>
          </w:p>
          <w:p w:rsidR="00442640" w:rsidRPr="002D4146" w:rsidRDefault="00442640" w:rsidP="002D4146">
            <w:pPr>
              <w:jc w:val="center"/>
              <w:rPr>
                <w:bCs/>
                <w:sz w:val="20"/>
                <w:szCs w:val="20"/>
              </w:rPr>
            </w:pPr>
            <w:r w:rsidRPr="002D4146">
              <w:rPr>
                <w:bCs/>
                <w:sz w:val="20"/>
                <w:szCs w:val="20"/>
              </w:rPr>
              <w:t>august</w:t>
            </w:r>
          </w:p>
          <w:p w:rsidR="00442640" w:rsidRPr="002D4146" w:rsidRDefault="00442640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bCs/>
                <w:sz w:val="20"/>
                <w:szCs w:val="20"/>
              </w:rPr>
              <w:t>septembrie</w:t>
            </w:r>
          </w:p>
        </w:tc>
      </w:tr>
      <w:tr w:rsidR="003F718E" w:rsidRPr="002D4146" w:rsidTr="002D4146">
        <w:tc>
          <w:tcPr>
            <w:tcW w:w="534" w:type="dxa"/>
          </w:tcPr>
          <w:p w:rsidR="009F773D" w:rsidRPr="002D4146" w:rsidRDefault="009F773D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9F773D" w:rsidRPr="002D4146" w:rsidRDefault="00DE2A87" w:rsidP="002D4146">
            <w:pPr>
              <w:rPr>
                <w:b/>
                <w:i/>
                <w:sz w:val="20"/>
                <w:szCs w:val="20"/>
              </w:rPr>
            </w:pPr>
            <w:r w:rsidRPr="002D4146">
              <w:rPr>
                <w:b/>
                <w:i/>
                <w:sz w:val="20"/>
                <w:szCs w:val="20"/>
              </w:rPr>
              <w:t>6.1. Sectorul apei</w:t>
            </w:r>
          </w:p>
        </w:tc>
        <w:tc>
          <w:tcPr>
            <w:tcW w:w="4111" w:type="dxa"/>
          </w:tcPr>
          <w:p w:rsidR="009F773D" w:rsidRPr="002D4146" w:rsidRDefault="00DE2A87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Finalizarea celui de al 2-lea Plan de Management al Bazinelor Hidrografice</w:t>
            </w:r>
          </w:p>
        </w:tc>
        <w:tc>
          <w:tcPr>
            <w:tcW w:w="1418" w:type="dxa"/>
          </w:tcPr>
          <w:p w:rsidR="009F773D" w:rsidRPr="002D4146" w:rsidRDefault="00DE2A87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MMAP</w:t>
            </w:r>
          </w:p>
        </w:tc>
        <w:tc>
          <w:tcPr>
            <w:tcW w:w="5811" w:type="dxa"/>
          </w:tcPr>
          <w:p w:rsidR="009F773D" w:rsidRPr="002D4146" w:rsidRDefault="00DE2A87" w:rsidP="002D41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Proiect de HG pentru aprobarea Planurilor de Management Bazinal prin Hotărâre de Guvern.</w:t>
            </w:r>
            <w:r w:rsidRPr="002D4146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523" w:type="dxa"/>
          </w:tcPr>
          <w:p w:rsidR="009F773D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o</w:t>
            </w:r>
            <w:r w:rsidR="00DE2A87" w:rsidRPr="002D4146">
              <w:rPr>
                <w:sz w:val="20"/>
                <w:szCs w:val="20"/>
              </w:rPr>
              <w:t>ctombrie</w:t>
            </w:r>
          </w:p>
        </w:tc>
      </w:tr>
      <w:tr w:rsidR="003F718E" w:rsidRPr="002D4146" w:rsidTr="002D4146">
        <w:tc>
          <w:tcPr>
            <w:tcW w:w="534" w:type="dxa"/>
          </w:tcPr>
          <w:p w:rsidR="009F773D" w:rsidRPr="002D4146" w:rsidRDefault="009F773D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9F773D" w:rsidRPr="002D4146" w:rsidRDefault="00DE2A87" w:rsidP="002D4146">
            <w:pPr>
              <w:rPr>
                <w:b/>
                <w:i/>
                <w:sz w:val="20"/>
                <w:szCs w:val="20"/>
              </w:rPr>
            </w:pPr>
            <w:r w:rsidRPr="002D4146">
              <w:rPr>
                <w:b/>
                <w:i/>
                <w:sz w:val="20"/>
                <w:szCs w:val="20"/>
              </w:rPr>
              <w:t>6.2. Sectorul deșeurilor</w:t>
            </w:r>
          </w:p>
        </w:tc>
        <w:tc>
          <w:tcPr>
            <w:tcW w:w="4111" w:type="dxa"/>
          </w:tcPr>
          <w:p w:rsidR="009F773D" w:rsidRPr="002D4146" w:rsidRDefault="00DE2A87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 xml:space="preserve">Identificarea de noi </w:t>
            </w:r>
            <w:r w:rsidRPr="002D4146">
              <w:rPr>
                <w:b/>
                <w:sz w:val="20"/>
                <w:szCs w:val="20"/>
              </w:rPr>
              <w:t>instrumente economice</w:t>
            </w:r>
            <w:r w:rsidRPr="002D4146">
              <w:rPr>
                <w:sz w:val="20"/>
                <w:szCs w:val="20"/>
              </w:rPr>
              <w:t xml:space="preserve"> care ar putea fi puse în aplicare în scopul de a atinge obiectivul 2020 privind reutilizarea și </w:t>
            </w:r>
            <w:r w:rsidRPr="002D4146">
              <w:rPr>
                <w:sz w:val="20"/>
                <w:szCs w:val="20"/>
              </w:rPr>
              <w:lastRenderedPageBreak/>
              <w:t>reciclarea deșeurilor.</w:t>
            </w:r>
          </w:p>
        </w:tc>
        <w:tc>
          <w:tcPr>
            <w:tcW w:w="1418" w:type="dxa"/>
          </w:tcPr>
          <w:p w:rsidR="009F773D" w:rsidRPr="002D4146" w:rsidRDefault="00DE2A87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lastRenderedPageBreak/>
              <w:t>MMAP</w:t>
            </w:r>
          </w:p>
          <w:p w:rsidR="00DE2A87" w:rsidRPr="002D4146" w:rsidRDefault="00DE2A87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MDRAP</w:t>
            </w:r>
          </w:p>
        </w:tc>
        <w:tc>
          <w:tcPr>
            <w:tcW w:w="5811" w:type="dxa"/>
          </w:tcPr>
          <w:p w:rsidR="00DE2A87" w:rsidRPr="002D4146" w:rsidRDefault="00DE2A87" w:rsidP="002D4146">
            <w:pPr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Promovare acte normative</w:t>
            </w:r>
          </w:p>
          <w:p w:rsidR="009F773D" w:rsidRPr="002D4146" w:rsidRDefault="009F773D" w:rsidP="002D4146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9F773D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o</w:t>
            </w:r>
            <w:r w:rsidR="00DE2A87" w:rsidRPr="002D4146">
              <w:rPr>
                <w:sz w:val="20"/>
                <w:szCs w:val="20"/>
              </w:rPr>
              <w:t>ctombrie</w:t>
            </w:r>
          </w:p>
        </w:tc>
      </w:tr>
      <w:tr w:rsidR="003F718E" w:rsidRPr="002D4146" w:rsidTr="002D4146">
        <w:tc>
          <w:tcPr>
            <w:tcW w:w="534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442640" w:rsidRPr="002D4146" w:rsidRDefault="00442640" w:rsidP="00C15678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  <w:lang w:val="fr-FR"/>
              </w:rPr>
            </w:pPr>
            <w:r w:rsidRPr="002D4146">
              <w:rPr>
                <w:rFonts w:asciiTheme="minorHAnsi" w:hAnsiTheme="minorHAnsi"/>
                <w:b/>
                <w:sz w:val="20"/>
                <w:szCs w:val="20"/>
                <w:lang w:val="ro-RO"/>
              </w:rPr>
              <w:t>11. Existența unui cadru strategic de politică pentru consolidarea eficienței administrative a statelor membre, inclusiv reforma administrației publice.</w:t>
            </w:r>
          </w:p>
        </w:tc>
        <w:tc>
          <w:tcPr>
            <w:tcW w:w="4111" w:type="dxa"/>
          </w:tcPr>
          <w:p w:rsidR="00442640" w:rsidRPr="002D4146" w:rsidRDefault="00442640" w:rsidP="002D4146">
            <w:pPr>
              <w:rPr>
                <w:sz w:val="20"/>
                <w:szCs w:val="20"/>
              </w:rPr>
            </w:pPr>
            <w:r w:rsidRPr="002D4146">
              <w:rPr>
                <w:rFonts w:cs="TimesNewRomanPSMT"/>
                <w:sz w:val="20"/>
                <w:szCs w:val="20"/>
                <w:lang w:eastAsia="ro-RO"/>
              </w:rPr>
              <w:t xml:space="preserve">Strategia de dezvoltare a funcției publice pentru perioada 2014-2020 </w:t>
            </w:r>
          </w:p>
        </w:tc>
        <w:tc>
          <w:tcPr>
            <w:tcW w:w="1418" w:type="dxa"/>
          </w:tcPr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MDRAP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ANFP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CPM</w:t>
            </w:r>
          </w:p>
        </w:tc>
        <w:tc>
          <w:tcPr>
            <w:tcW w:w="5811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0"/>
              </w:numPr>
              <w:tabs>
                <w:tab w:val="left" w:pos="297"/>
              </w:tabs>
              <w:ind w:left="33" w:firstLine="0"/>
              <w:jc w:val="both"/>
              <w:rPr>
                <w:rFonts w:asciiTheme="minorHAnsi" w:hAnsiTheme="minorHAnsi"/>
                <w:noProof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/>
                <w:noProof/>
                <w:sz w:val="20"/>
                <w:szCs w:val="20"/>
                <w:lang w:val="ro-RO"/>
              </w:rPr>
              <w:t>Elaborarea Strategiei privind dezvoltarea funcției publice 201</w:t>
            </w:r>
            <w:r w:rsidR="008C0EC5" w:rsidRPr="002D4146">
              <w:rPr>
                <w:rFonts w:asciiTheme="minorHAnsi" w:hAnsiTheme="minorHAnsi"/>
                <w:noProof/>
                <w:sz w:val="20"/>
                <w:szCs w:val="20"/>
                <w:lang w:val="ro-RO"/>
              </w:rPr>
              <w:t>6</w:t>
            </w:r>
            <w:r w:rsidRPr="002D4146">
              <w:rPr>
                <w:rFonts w:asciiTheme="minorHAnsi" w:hAnsiTheme="minorHAnsi"/>
                <w:noProof/>
                <w:sz w:val="20"/>
                <w:szCs w:val="20"/>
                <w:lang w:val="ro-RO"/>
              </w:rPr>
              <w:t xml:space="preserve">-2020 </w:t>
            </w:r>
          </w:p>
          <w:p w:rsidR="00442640" w:rsidRPr="002D4146" w:rsidRDefault="00442640" w:rsidP="002D4146">
            <w:pPr>
              <w:pStyle w:val="ListParagraph"/>
              <w:numPr>
                <w:ilvl w:val="0"/>
                <w:numId w:val="10"/>
              </w:numPr>
              <w:tabs>
                <w:tab w:val="left" w:pos="245"/>
              </w:tabs>
              <w:ind w:left="33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D4146">
              <w:rPr>
                <w:rFonts w:asciiTheme="minorHAnsi" w:hAnsiTheme="minorHAnsi"/>
                <w:noProof/>
                <w:sz w:val="20"/>
                <w:szCs w:val="20"/>
                <w:lang w:val="ro-RO"/>
              </w:rPr>
              <w:t>Promovarea spre aprobare prin Hotărâre de Guvern a strategiei</w:t>
            </w:r>
          </w:p>
        </w:tc>
        <w:tc>
          <w:tcPr>
            <w:tcW w:w="1523" w:type="dxa"/>
          </w:tcPr>
          <w:p w:rsidR="00442640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fe</w:t>
            </w:r>
            <w:r w:rsidR="00442640" w:rsidRPr="002D4146">
              <w:rPr>
                <w:sz w:val="20"/>
                <w:szCs w:val="20"/>
              </w:rPr>
              <w:t>bruarie</w:t>
            </w:r>
          </w:p>
          <w:p w:rsidR="00442640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</w:t>
            </w:r>
            <w:r w:rsidR="00442640" w:rsidRPr="002D4146">
              <w:rPr>
                <w:sz w:val="20"/>
                <w:szCs w:val="20"/>
              </w:rPr>
              <w:t>ai</w:t>
            </w:r>
          </w:p>
        </w:tc>
      </w:tr>
      <w:tr w:rsidR="003F718E" w:rsidRPr="002D4146" w:rsidTr="002D4146">
        <w:tc>
          <w:tcPr>
            <w:tcW w:w="534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42640" w:rsidRPr="002D4146" w:rsidRDefault="00442640" w:rsidP="002D4146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442640" w:rsidRPr="002D4146" w:rsidRDefault="00442640" w:rsidP="002D4146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</w:rPr>
            </w:pPr>
            <w:r w:rsidRPr="002D4146">
              <w:rPr>
                <w:noProof/>
                <w:sz w:val="20"/>
                <w:szCs w:val="20"/>
              </w:rPr>
              <w:t xml:space="preserve">Strategia privind formarea profesională 2014-2020 </w:t>
            </w:r>
          </w:p>
          <w:p w:rsidR="00442640" w:rsidRPr="002D4146" w:rsidRDefault="00442640" w:rsidP="002D414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MDRAP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ANFP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CPM</w:t>
            </w:r>
          </w:p>
        </w:tc>
        <w:tc>
          <w:tcPr>
            <w:tcW w:w="5811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0"/>
              </w:numPr>
              <w:tabs>
                <w:tab w:val="left" w:pos="176"/>
              </w:tabs>
              <w:ind w:left="33" w:hanging="33"/>
              <w:jc w:val="both"/>
              <w:rPr>
                <w:rFonts w:asciiTheme="minorHAnsi" w:hAnsiTheme="minorHAnsi" w:cs="Arial"/>
                <w:noProof/>
                <w:sz w:val="20"/>
                <w:szCs w:val="20"/>
                <w:lang w:val="ro-RO"/>
              </w:rPr>
            </w:pPr>
            <w:r w:rsidRPr="002D4146">
              <w:rPr>
                <w:rFonts w:asciiTheme="minorHAnsi" w:hAnsiTheme="minorHAnsi" w:cs="Arial"/>
                <w:noProof/>
                <w:sz w:val="20"/>
                <w:szCs w:val="20"/>
                <w:lang w:val="ro-RO"/>
              </w:rPr>
              <w:t>Elaborarea proiectului de Strategie privind formarea profesională 201</w:t>
            </w:r>
            <w:r w:rsidR="008C0EC5" w:rsidRPr="002D4146">
              <w:rPr>
                <w:rFonts w:asciiTheme="minorHAnsi" w:hAnsiTheme="minorHAnsi" w:cs="Arial"/>
                <w:noProof/>
                <w:sz w:val="20"/>
                <w:szCs w:val="20"/>
                <w:lang w:val="ro-RO"/>
              </w:rPr>
              <w:t>6</w:t>
            </w:r>
            <w:r w:rsidRPr="002D4146">
              <w:rPr>
                <w:rFonts w:asciiTheme="minorHAnsi" w:hAnsiTheme="minorHAnsi" w:cs="Arial"/>
                <w:noProof/>
                <w:sz w:val="20"/>
                <w:szCs w:val="20"/>
                <w:lang w:val="ro-RO"/>
              </w:rPr>
              <w:t xml:space="preserve">-2020 </w:t>
            </w:r>
          </w:p>
          <w:p w:rsidR="00442640" w:rsidRPr="002D4146" w:rsidRDefault="00442640" w:rsidP="002D4146">
            <w:pPr>
              <w:numPr>
                <w:ilvl w:val="0"/>
                <w:numId w:val="10"/>
              </w:numPr>
              <w:tabs>
                <w:tab w:val="left" w:pos="176"/>
                <w:tab w:val="left" w:pos="544"/>
              </w:tabs>
              <w:ind w:left="33" w:hanging="33"/>
              <w:jc w:val="both"/>
              <w:rPr>
                <w:rFonts w:cs="Arial"/>
                <w:noProof/>
                <w:sz w:val="20"/>
                <w:szCs w:val="20"/>
              </w:rPr>
            </w:pPr>
            <w:r w:rsidRPr="002D4146">
              <w:rPr>
                <w:rFonts w:cs="Arial"/>
                <w:noProof/>
                <w:sz w:val="20"/>
                <w:szCs w:val="20"/>
              </w:rPr>
              <w:t>Promovarea spre aprobare prin Hotărâre de Guvern a Strategiei</w:t>
            </w:r>
          </w:p>
        </w:tc>
        <w:tc>
          <w:tcPr>
            <w:tcW w:w="1523" w:type="dxa"/>
          </w:tcPr>
          <w:p w:rsidR="00442640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m</w:t>
            </w:r>
            <w:r w:rsidR="00442640" w:rsidRPr="002D4146">
              <w:rPr>
                <w:sz w:val="20"/>
                <w:szCs w:val="20"/>
              </w:rPr>
              <w:t>artie</w:t>
            </w:r>
          </w:p>
          <w:p w:rsidR="00434228" w:rsidRPr="002D4146" w:rsidRDefault="00434228" w:rsidP="002D4146">
            <w:pPr>
              <w:jc w:val="center"/>
              <w:rPr>
                <w:sz w:val="20"/>
                <w:szCs w:val="20"/>
              </w:rPr>
            </w:pPr>
          </w:p>
          <w:p w:rsidR="00442640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</w:t>
            </w:r>
            <w:r w:rsidR="00442640" w:rsidRPr="002D4146">
              <w:rPr>
                <w:sz w:val="20"/>
                <w:szCs w:val="20"/>
              </w:rPr>
              <w:t>ulie</w:t>
            </w:r>
          </w:p>
        </w:tc>
      </w:tr>
      <w:tr w:rsidR="003F718E" w:rsidRPr="002D4146" w:rsidTr="002D4146">
        <w:tc>
          <w:tcPr>
            <w:tcW w:w="534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442640" w:rsidRPr="002D4146" w:rsidRDefault="00442640" w:rsidP="002D4146">
            <w:pPr>
              <w:pStyle w:val="ListParagraph"/>
              <w:numPr>
                <w:ilvl w:val="1"/>
                <w:numId w:val="12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  <w:r w:rsidRPr="002D4146">
              <w:rPr>
                <w:rFonts w:asciiTheme="minorHAnsi" w:hAnsiTheme="minorHAnsi"/>
                <w:b/>
                <w:sz w:val="20"/>
                <w:szCs w:val="20"/>
                <w:lang w:val="ro-RO"/>
              </w:rPr>
              <w:t>Cercet</w:t>
            </w:r>
            <w:bookmarkStart w:id="0" w:name="_GoBack"/>
            <w:bookmarkEnd w:id="0"/>
            <w:r w:rsidRPr="002D4146">
              <w:rPr>
                <w:rFonts w:asciiTheme="minorHAnsi" w:hAnsiTheme="minorHAnsi"/>
                <w:b/>
                <w:sz w:val="20"/>
                <w:szCs w:val="20"/>
                <w:lang w:val="ro-RO"/>
              </w:rPr>
              <w:t>are și inovare</w:t>
            </w:r>
          </w:p>
        </w:tc>
        <w:tc>
          <w:tcPr>
            <w:tcW w:w="4111" w:type="dxa"/>
          </w:tcPr>
          <w:p w:rsidR="00442640" w:rsidRPr="002D4146" w:rsidRDefault="00442640" w:rsidP="002D4146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</w:rPr>
            </w:pPr>
            <w:r w:rsidRPr="002D4146">
              <w:rPr>
                <w:rFonts w:eastAsia="Calibri"/>
                <w:sz w:val="20"/>
                <w:szCs w:val="20"/>
              </w:rPr>
              <w:t>Operaționalizarea Mecanismului de orientare strategică</w:t>
            </w:r>
          </w:p>
        </w:tc>
        <w:tc>
          <w:tcPr>
            <w:tcW w:w="1418" w:type="dxa"/>
          </w:tcPr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ANCȘI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MECRMA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3"/>
              </w:numPr>
              <w:tabs>
                <w:tab w:val="left" w:pos="207"/>
                <w:tab w:val="left" w:pos="492"/>
              </w:tabs>
              <w:jc w:val="both"/>
              <w:rPr>
                <w:rFonts w:asciiTheme="minorHAnsi" w:eastAsia="Calibr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 xml:space="preserve">Revizuire HG </w:t>
            </w:r>
            <w:r w:rsidR="002C6682"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>pentru completarea activitatea Consiliul Naţional pentru Politica Ştiinţei, Tehnologiei şi Inovării (CNPSTI)</w:t>
            </w: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 xml:space="preserve"> cu partea de inovare, urmând ca unul din grupurile de lucru subsecvente Consiliului să fie un Grup de Lucru dedicat inovării</w:t>
            </w:r>
          </w:p>
          <w:p w:rsidR="00442640" w:rsidRPr="002D4146" w:rsidRDefault="00442640" w:rsidP="002D4146">
            <w:pPr>
              <w:pStyle w:val="ListParagraph"/>
              <w:numPr>
                <w:ilvl w:val="0"/>
                <w:numId w:val="13"/>
              </w:numPr>
              <w:tabs>
                <w:tab w:val="left" w:pos="207"/>
                <w:tab w:val="left" w:pos="492"/>
              </w:tabs>
              <w:ind w:left="33" w:firstLine="0"/>
              <w:jc w:val="both"/>
              <w:rPr>
                <w:rFonts w:asciiTheme="minorHAnsi" w:eastAsia="Calibr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 xml:space="preserve"> Avizare HG modificat</w:t>
            </w:r>
          </w:p>
          <w:p w:rsidR="00442640" w:rsidRPr="002D4146" w:rsidRDefault="00442640" w:rsidP="002D4146">
            <w:pPr>
              <w:pStyle w:val="ListParagraph"/>
              <w:numPr>
                <w:ilvl w:val="0"/>
                <w:numId w:val="13"/>
              </w:numPr>
              <w:tabs>
                <w:tab w:val="left" w:pos="207"/>
                <w:tab w:val="left" w:pos="492"/>
              </w:tabs>
              <w:ind w:left="33" w:firstLine="0"/>
              <w:jc w:val="both"/>
              <w:rPr>
                <w:rFonts w:asciiTheme="minorHAnsi" w:eastAsia="Calibri" w:hAnsiTheme="minorHAnsi"/>
                <w:sz w:val="20"/>
                <w:szCs w:val="20"/>
                <w:lang w:val="ro-RO"/>
              </w:rPr>
            </w:pP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>Aprobare HG</w:t>
            </w:r>
          </w:p>
        </w:tc>
        <w:tc>
          <w:tcPr>
            <w:tcW w:w="1523" w:type="dxa"/>
          </w:tcPr>
          <w:p w:rsidR="00442640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i</w:t>
            </w:r>
            <w:r w:rsidR="00442640" w:rsidRPr="002D4146">
              <w:rPr>
                <w:sz w:val="20"/>
                <w:szCs w:val="20"/>
              </w:rPr>
              <w:t>unie</w:t>
            </w:r>
          </w:p>
        </w:tc>
      </w:tr>
      <w:tr w:rsidR="003F718E" w:rsidRPr="002D4146" w:rsidTr="002D4146">
        <w:tc>
          <w:tcPr>
            <w:tcW w:w="534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5"/>
              </w:numPr>
              <w:ind w:left="710" w:hanging="56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42640" w:rsidRPr="002D4146" w:rsidRDefault="00442640" w:rsidP="002D4146">
            <w:pPr>
              <w:pStyle w:val="ListParagraph"/>
              <w:ind w:left="0"/>
              <w:rPr>
                <w:rFonts w:asciiTheme="minorHAnsi" w:hAnsi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4111" w:type="dxa"/>
          </w:tcPr>
          <w:p w:rsidR="00442640" w:rsidRPr="002D4146" w:rsidRDefault="00442640" w:rsidP="002D4146">
            <w:pPr>
              <w:contextualSpacing/>
              <w:jc w:val="both"/>
              <w:rPr>
                <w:rFonts w:eastAsia="Calibri"/>
                <w:sz w:val="20"/>
                <w:szCs w:val="20"/>
                <w:lang w:val="it-IT"/>
              </w:rPr>
            </w:pPr>
            <w:r w:rsidRPr="002D4146">
              <w:rPr>
                <w:rFonts w:eastAsia="Calibri"/>
                <w:sz w:val="20"/>
                <w:szCs w:val="20"/>
              </w:rPr>
              <w:t>Consiliul Național pentru Competitivitate (sau similar) este constituit și devine operațional,</w:t>
            </w:r>
          </w:p>
        </w:tc>
        <w:tc>
          <w:tcPr>
            <w:tcW w:w="1418" w:type="dxa"/>
          </w:tcPr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MECRMA</w:t>
            </w:r>
          </w:p>
          <w:p w:rsidR="00726ACE" w:rsidRPr="002D4146" w:rsidRDefault="00726ACE" w:rsidP="002D4146">
            <w:pPr>
              <w:jc w:val="center"/>
              <w:rPr>
                <w:b/>
                <w:sz w:val="20"/>
                <w:szCs w:val="20"/>
              </w:rPr>
            </w:pPr>
            <w:r w:rsidRPr="002D4146">
              <w:rPr>
                <w:b/>
                <w:sz w:val="20"/>
                <w:szCs w:val="20"/>
              </w:rPr>
              <w:t>ANCȘI</w:t>
            </w:r>
          </w:p>
          <w:p w:rsidR="00442640" w:rsidRPr="002D4146" w:rsidRDefault="00442640" w:rsidP="002D41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42640" w:rsidRPr="002D4146" w:rsidRDefault="00442640" w:rsidP="002D4146">
            <w:pPr>
              <w:pStyle w:val="ListParagraph"/>
              <w:numPr>
                <w:ilvl w:val="0"/>
                <w:numId w:val="14"/>
              </w:numPr>
              <w:tabs>
                <w:tab w:val="left" w:pos="176"/>
              </w:tabs>
              <w:ind w:left="266" w:hanging="266"/>
              <w:jc w:val="both"/>
              <w:rPr>
                <w:rFonts w:asciiTheme="minorHAnsi" w:eastAsia="Calibri" w:hAnsiTheme="minorHAnsi"/>
                <w:b/>
                <w:sz w:val="20"/>
                <w:szCs w:val="20"/>
                <w:lang w:val="ro-RO"/>
              </w:rPr>
            </w:pP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 xml:space="preserve">Elaborare Proiect  </w:t>
            </w:r>
            <w:r w:rsidRPr="002D4146">
              <w:rPr>
                <w:rFonts w:asciiTheme="minorHAnsi" w:eastAsia="Calibri" w:hAnsiTheme="minorHAnsi"/>
                <w:i/>
                <w:sz w:val="20"/>
                <w:szCs w:val="20"/>
                <w:lang w:val="ro-RO"/>
              </w:rPr>
              <w:t xml:space="preserve">HG privind </w:t>
            </w:r>
            <w:r w:rsidR="00E11B22" w:rsidRPr="002D4146">
              <w:rPr>
                <w:rFonts w:asciiTheme="minorHAnsi" w:eastAsia="Calibri" w:hAnsiTheme="minorHAnsi"/>
                <w:i/>
                <w:sz w:val="20"/>
                <w:szCs w:val="20"/>
                <w:lang w:val="ro-RO"/>
              </w:rPr>
              <w:t>înființarea Consiliu Național pentru Competitivitate (structura și atribuții)</w:t>
            </w:r>
            <w:r w:rsidRPr="002D4146">
              <w:rPr>
                <w:rFonts w:asciiTheme="minorHAnsi" w:eastAsia="Calibri" w:hAnsiTheme="minorHAnsi"/>
                <w:i/>
                <w:sz w:val="20"/>
                <w:szCs w:val="20"/>
                <w:lang w:val="ro-RO"/>
              </w:rPr>
              <w:t xml:space="preserve"> </w:t>
            </w: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 xml:space="preserve"> - </w:t>
            </w:r>
            <w:r w:rsidRPr="002D4146">
              <w:rPr>
                <w:rFonts w:asciiTheme="minorHAnsi" w:eastAsia="Calibri" w:hAnsiTheme="minorHAnsi"/>
                <w:b/>
                <w:sz w:val="20"/>
                <w:szCs w:val="20"/>
                <w:lang w:val="ro-RO"/>
              </w:rPr>
              <w:t>Realizat</w:t>
            </w:r>
          </w:p>
          <w:p w:rsidR="00442640" w:rsidRPr="002D4146" w:rsidRDefault="00442640" w:rsidP="002D4146">
            <w:pPr>
              <w:pStyle w:val="ListParagraph"/>
              <w:numPr>
                <w:ilvl w:val="0"/>
                <w:numId w:val="14"/>
              </w:numPr>
              <w:tabs>
                <w:tab w:val="left" w:pos="176"/>
              </w:tabs>
              <w:ind w:left="266" w:hanging="266"/>
              <w:jc w:val="both"/>
              <w:rPr>
                <w:rFonts w:asciiTheme="minorHAnsi" w:eastAsia="Calibri" w:hAnsiTheme="minorHAnsi"/>
                <w:b/>
                <w:sz w:val="20"/>
                <w:szCs w:val="20"/>
                <w:lang w:val="ro-RO"/>
              </w:rPr>
            </w:pP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 xml:space="preserve">Obținere avize in vederea aprobării </w:t>
            </w:r>
          </w:p>
          <w:p w:rsidR="00442640" w:rsidRPr="002D4146" w:rsidRDefault="00442640" w:rsidP="002D4146">
            <w:pPr>
              <w:pStyle w:val="ListParagraph"/>
              <w:numPr>
                <w:ilvl w:val="0"/>
                <w:numId w:val="14"/>
              </w:numPr>
              <w:tabs>
                <w:tab w:val="left" w:pos="176"/>
              </w:tabs>
              <w:ind w:left="266" w:hanging="266"/>
              <w:jc w:val="both"/>
              <w:rPr>
                <w:rFonts w:asciiTheme="minorHAnsi" w:eastAsia="Calibri" w:hAnsiTheme="minorHAnsi"/>
                <w:b/>
                <w:sz w:val="20"/>
                <w:szCs w:val="20"/>
                <w:lang w:val="ro-RO"/>
              </w:rPr>
            </w:pPr>
            <w:r w:rsidRPr="002D4146">
              <w:rPr>
                <w:rFonts w:asciiTheme="minorHAnsi" w:eastAsia="Calibri" w:hAnsiTheme="minorHAnsi"/>
                <w:sz w:val="20"/>
                <w:szCs w:val="20"/>
                <w:lang w:val="ro-RO"/>
              </w:rPr>
              <w:t>Promovare/aprobare în ședință de Guvern</w:t>
            </w:r>
          </w:p>
        </w:tc>
        <w:tc>
          <w:tcPr>
            <w:tcW w:w="1523" w:type="dxa"/>
          </w:tcPr>
          <w:p w:rsidR="00442640" w:rsidRPr="002D4146" w:rsidRDefault="00434228" w:rsidP="002D4146">
            <w:pPr>
              <w:jc w:val="center"/>
              <w:rPr>
                <w:sz w:val="20"/>
                <w:szCs w:val="20"/>
              </w:rPr>
            </w:pPr>
            <w:r w:rsidRPr="002D4146">
              <w:rPr>
                <w:sz w:val="20"/>
                <w:szCs w:val="20"/>
              </w:rPr>
              <w:t>aprilie</w:t>
            </w:r>
          </w:p>
        </w:tc>
      </w:tr>
    </w:tbl>
    <w:p w:rsidR="00AE416D" w:rsidRPr="00AE416D" w:rsidRDefault="00AE416D" w:rsidP="00AE416D">
      <w:pPr>
        <w:ind w:left="-284" w:firstLine="284"/>
        <w:rPr>
          <w:sz w:val="24"/>
          <w:szCs w:val="24"/>
        </w:rPr>
      </w:pPr>
    </w:p>
    <w:sectPr w:rsidR="00AE416D" w:rsidRPr="00AE416D" w:rsidSect="007F0561">
      <w:headerReference w:type="default" r:id="rId8"/>
      <w:footerReference w:type="default" r:id="rId9"/>
      <w:pgSz w:w="16838" w:h="11906" w:orient="landscape"/>
      <w:pgMar w:top="709" w:right="1417" w:bottom="851" w:left="1134" w:header="426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9D4" w:rsidRDefault="00EB09D4" w:rsidP="009F773D">
      <w:pPr>
        <w:spacing w:after="0" w:line="240" w:lineRule="auto"/>
      </w:pPr>
      <w:r>
        <w:separator/>
      </w:r>
    </w:p>
  </w:endnote>
  <w:endnote w:type="continuationSeparator" w:id="0">
    <w:p w:rsidR="00EB09D4" w:rsidRDefault="00EB09D4" w:rsidP="009F7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5014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773D" w:rsidRDefault="009F773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6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773D" w:rsidRDefault="009F7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9D4" w:rsidRDefault="00EB09D4" w:rsidP="009F773D">
      <w:pPr>
        <w:spacing w:after="0" w:line="240" w:lineRule="auto"/>
      </w:pPr>
      <w:r>
        <w:separator/>
      </w:r>
    </w:p>
  </w:footnote>
  <w:footnote w:type="continuationSeparator" w:id="0">
    <w:p w:rsidR="00EB09D4" w:rsidRDefault="00EB09D4" w:rsidP="009F7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61" w:rsidRPr="007F0561" w:rsidRDefault="007F0561" w:rsidP="007F0561">
    <w:pPr>
      <w:pStyle w:val="Header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37EF8"/>
    <w:multiLevelType w:val="hybridMultilevel"/>
    <w:tmpl w:val="A620BA68"/>
    <w:lvl w:ilvl="0" w:tplc="D346D7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A25DE"/>
    <w:multiLevelType w:val="multilevel"/>
    <w:tmpl w:val="09B4956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892E5E"/>
    <w:multiLevelType w:val="hybridMultilevel"/>
    <w:tmpl w:val="0C5EC15E"/>
    <w:lvl w:ilvl="0" w:tplc="17B00E3A">
      <w:numFmt w:val="bullet"/>
      <w:lvlText w:val="-"/>
      <w:lvlJc w:val="left"/>
      <w:pPr>
        <w:ind w:left="396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3">
    <w:nsid w:val="269C70E0"/>
    <w:multiLevelType w:val="hybridMultilevel"/>
    <w:tmpl w:val="D38E6806"/>
    <w:lvl w:ilvl="0" w:tplc="18C4701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14E49"/>
    <w:multiLevelType w:val="hybridMultilevel"/>
    <w:tmpl w:val="EC3078E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C2A3C"/>
    <w:multiLevelType w:val="hybridMultilevel"/>
    <w:tmpl w:val="FA042734"/>
    <w:lvl w:ilvl="0" w:tplc="03CE397E">
      <w:start w:val="1"/>
      <w:numFmt w:val="bullet"/>
      <w:lvlText w:val="–"/>
      <w:lvlJc w:val="left"/>
      <w:pPr>
        <w:ind w:left="36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EC4B7F"/>
    <w:multiLevelType w:val="hybridMultilevel"/>
    <w:tmpl w:val="B0A40098"/>
    <w:lvl w:ilvl="0" w:tplc="E4567BB8">
      <w:start w:val="5"/>
      <w:numFmt w:val="bullet"/>
      <w:lvlText w:val="-"/>
      <w:lvlJc w:val="left"/>
      <w:pPr>
        <w:ind w:left="53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7">
    <w:nsid w:val="5B89678B"/>
    <w:multiLevelType w:val="hybridMultilevel"/>
    <w:tmpl w:val="74E050B0"/>
    <w:lvl w:ilvl="0" w:tplc="2FE27066">
      <w:start w:val="3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DC76EC0"/>
    <w:multiLevelType w:val="hybridMultilevel"/>
    <w:tmpl w:val="69A8B4CA"/>
    <w:lvl w:ilvl="0" w:tplc="F9E67706">
      <w:start w:val="6"/>
      <w:numFmt w:val="bullet"/>
      <w:lvlText w:val="-"/>
      <w:lvlJc w:val="left"/>
      <w:pPr>
        <w:ind w:left="677" w:hanging="360"/>
      </w:pPr>
      <w:rPr>
        <w:rFonts w:ascii="Calibri" w:eastAsia="Times New Roman" w:hAnsi="Calibri" w:cs="Times New Roman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9">
    <w:nsid w:val="5DFB1E3B"/>
    <w:multiLevelType w:val="hybridMultilevel"/>
    <w:tmpl w:val="FE5A5D34"/>
    <w:lvl w:ilvl="0" w:tplc="1B1A09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C4A6B"/>
    <w:multiLevelType w:val="hybridMultilevel"/>
    <w:tmpl w:val="7F240028"/>
    <w:lvl w:ilvl="0" w:tplc="272AF12A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542AC5"/>
    <w:multiLevelType w:val="hybridMultilevel"/>
    <w:tmpl w:val="0C28E02C"/>
    <w:lvl w:ilvl="0" w:tplc="46B60DDC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DD0B26"/>
    <w:multiLevelType w:val="hybridMultilevel"/>
    <w:tmpl w:val="CB0047D0"/>
    <w:lvl w:ilvl="0" w:tplc="B716346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12610"/>
    <w:multiLevelType w:val="multilevel"/>
    <w:tmpl w:val="0AD2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7EFB2F81"/>
    <w:multiLevelType w:val="hybridMultilevel"/>
    <w:tmpl w:val="2940D5D6"/>
    <w:lvl w:ilvl="0" w:tplc="03CE397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5"/>
  </w:num>
  <w:num w:numId="8">
    <w:abstractNumId w:val="7"/>
  </w:num>
  <w:num w:numId="9">
    <w:abstractNumId w:val="6"/>
  </w:num>
  <w:num w:numId="10">
    <w:abstractNumId w:val="12"/>
  </w:num>
  <w:num w:numId="11">
    <w:abstractNumId w:val="1"/>
  </w:num>
  <w:num w:numId="12">
    <w:abstractNumId w:val="13"/>
  </w:num>
  <w:num w:numId="13">
    <w:abstractNumId w:val="2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6D"/>
    <w:rsid w:val="00010C26"/>
    <w:rsid w:val="00041689"/>
    <w:rsid w:val="0008460E"/>
    <w:rsid w:val="000A7301"/>
    <w:rsid w:val="000D5445"/>
    <w:rsid w:val="000F3928"/>
    <w:rsid w:val="00137799"/>
    <w:rsid w:val="0015305E"/>
    <w:rsid w:val="00167B2F"/>
    <w:rsid w:val="001B1F4E"/>
    <w:rsid w:val="001E694E"/>
    <w:rsid w:val="00202CBD"/>
    <w:rsid w:val="002251CD"/>
    <w:rsid w:val="00226AE9"/>
    <w:rsid w:val="002C6682"/>
    <w:rsid w:val="002D4146"/>
    <w:rsid w:val="002D48CF"/>
    <w:rsid w:val="0033273D"/>
    <w:rsid w:val="003E2D70"/>
    <w:rsid w:val="003F718E"/>
    <w:rsid w:val="00434228"/>
    <w:rsid w:val="00442640"/>
    <w:rsid w:val="00484203"/>
    <w:rsid w:val="0054451B"/>
    <w:rsid w:val="00563A62"/>
    <w:rsid w:val="005B175C"/>
    <w:rsid w:val="005D7108"/>
    <w:rsid w:val="005F39A1"/>
    <w:rsid w:val="00603FC5"/>
    <w:rsid w:val="0065059A"/>
    <w:rsid w:val="006D517A"/>
    <w:rsid w:val="006E2EB8"/>
    <w:rsid w:val="00704F2E"/>
    <w:rsid w:val="0071762B"/>
    <w:rsid w:val="00726ACE"/>
    <w:rsid w:val="007A05C5"/>
    <w:rsid w:val="007B38E5"/>
    <w:rsid w:val="007F0561"/>
    <w:rsid w:val="00872028"/>
    <w:rsid w:val="008A1AE8"/>
    <w:rsid w:val="008C0EC5"/>
    <w:rsid w:val="00922072"/>
    <w:rsid w:val="00996930"/>
    <w:rsid w:val="009A301D"/>
    <w:rsid w:val="009E37A5"/>
    <w:rsid w:val="009F773D"/>
    <w:rsid w:val="00A21CC2"/>
    <w:rsid w:val="00AB0669"/>
    <w:rsid w:val="00AE416D"/>
    <w:rsid w:val="00B61899"/>
    <w:rsid w:val="00B6679C"/>
    <w:rsid w:val="00B83A86"/>
    <w:rsid w:val="00BC4AA2"/>
    <w:rsid w:val="00BF0907"/>
    <w:rsid w:val="00C11A84"/>
    <w:rsid w:val="00C15678"/>
    <w:rsid w:val="00C24E66"/>
    <w:rsid w:val="00C5725D"/>
    <w:rsid w:val="00CD0D6D"/>
    <w:rsid w:val="00D00634"/>
    <w:rsid w:val="00D74BE0"/>
    <w:rsid w:val="00D952E3"/>
    <w:rsid w:val="00DD45D3"/>
    <w:rsid w:val="00DE2A87"/>
    <w:rsid w:val="00E1169F"/>
    <w:rsid w:val="00E11B22"/>
    <w:rsid w:val="00E562FB"/>
    <w:rsid w:val="00E56B7B"/>
    <w:rsid w:val="00E703ED"/>
    <w:rsid w:val="00E87F54"/>
    <w:rsid w:val="00EA17E5"/>
    <w:rsid w:val="00EB09D4"/>
    <w:rsid w:val="00F00650"/>
    <w:rsid w:val="00F32901"/>
    <w:rsid w:val="00F7423C"/>
    <w:rsid w:val="00F779B3"/>
    <w:rsid w:val="00F87813"/>
    <w:rsid w:val="00F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420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203"/>
    <w:pPr>
      <w:keepNext/>
      <w:numPr>
        <w:ilvl w:val="1"/>
        <w:numId w:val="1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203"/>
    <w:pPr>
      <w:keepNext/>
      <w:numPr>
        <w:ilvl w:val="2"/>
        <w:numId w:val="1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203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203"/>
    <w:pPr>
      <w:numPr>
        <w:ilvl w:val="4"/>
        <w:numId w:val="1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203"/>
    <w:pPr>
      <w:numPr>
        <w:ilvl w:val="5"/>
        <w:numId w:val="1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203"/>
    <w:pPr>
      <w:numPr>
        <w:ilvl w:val="6"/>
        <w:numId w:val="1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203"/>
    <w:pPr>
      <w:numPr>
        <w:ilvl w:val="7"/>
        <w:numId w:val="1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203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CC2"/>
    <w:rPr>
      <w:rFonts w:ascii="Tahoma" w:hAnsi="Tahoma" w:cs="Tahoma"/>
      <w:sz w:val="16"/>
      <w:szCs w:val="16"/>
    </w:rPr>
  </w:style>
  <w:style w:type="paragraph" w:styleId="ListParagraph">
    <w:name w:val="List Paragraph"/>
    <w:aliases w:val="body 2,List_Paragraph,Multilevel para_II,Normal bullet 2,Forth level,Colorful List - Accent 11,Medium Grid 1 - Accent 21"/>
    <w:basedOn w:val="Normal"/>
    <w:link w:val="ListParagraphChar"/>
    <w:uiPriority w:val="34"/>
    <w:qFormat/>
    <w:rsid w:val="001530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body 2 Char,List_Paragraph Char,Multilevel para_II Char,Normal bullet 2 Char,Forth level Char,Colorful List - Accent 11 Char,Medium Grid 1 - Accent 21 Char"/>
    <w:link w:val="ListParagraph"/>
    <w:uiPriority w:val="34"/>
    <w:locked/>
    <w:rsid w:val="0015305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7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73D"/>
  </w:style>
  <w:style w:type="paragraph" w:styleId="Footer">
    <w:name w:val="footer"/>
    <w:basedOn w:val="Normal"/>
    <w:link w:val="FooterChar"/>
    <w:uiPriority w:val="99"/>
    <w:unhideWhenUsed/>
    <w:rsid w:val="009F7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73D"/>
  </w:style>
  <w:style w:type="character" w:customStyle="1" w:styleId="Heading1Char">
    <w:name w:val="Heading 1 Char"/>
    <w:basedOn w:val="DefaultParagraphFont"/>
    <w:link w:val="Heading1"/>
    <w:uiPriority w:val="9"/>
    <w:rsid w:val="00484203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84203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84203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484203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84203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84203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8420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484203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484203"/>
    <w:rPr>
      <w:rFonts w:ascii="Arial" w:eastAsia="Times New Roman" w:hAnsi="Arial" w:cs="Arial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420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84203"/>
    <w:pPr>
      <w:keepNext/>
      <w:numPr>
        <w:ilvl w:val="1"/>
        <w:numId w:val="1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84203"/>
    <w:pPr>
      <w:keepNext/>
      <w:numPr>
        <w:ilvl w:val="2"/>
        <w:numId w:val="1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4203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84203"/>
    <w:pPr>
      <w:numPr>
        <w:ilvl w:val="4"/>
        <w:numId w:val="1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84203"/>
    <w:pPr>
      <w:numPr>
        <w:ilvl w:val="5"/>
        <w:numId w:val="1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84203"/>
    <w:pPr>
      <w:numPr>
        <w:ilvl w:val="6"/>
        <w:numId w:val="1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4203"/>
    <w:pPr>
      <w:numPr>
        <w:ilvl w:val="7"/>
        <w:numId w:val="1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84203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CC2"/>
    <w:rPr>
      <w:rFonts w:ascii="Tahoma" w:hAnsi="Tahoma" w:cs="Tahoma"/>
      <w:sz w:val="16"/>
      <w:szCs w:val="16"/>
    </w:rPr>
  </w:style>
  <w:style w:type="paragraph" w:styleId="ListParagraph">
    <w:name w:val="List Paragraph"/>
    <w:aliases w:val="body 2,List_Paragraph,Multilevel para_II,Normal bullet 2,Forth level,Colorful List - Accent 11,Medium Grid 1 - Accent 21"/>
    <w:basedOn w:val="Normal"/>
    <w:link w:val="ListParagraphChar"/>
    <w:uiPriority w:val="34"/>
    <w:qFormat/>
    <w:rsid w:val="001530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body 2 Char,List_Paragraph Char,Multilevel para_II Char,Normal bullet 2 Char,Forth level Char,Colorful List - Accent 11 Char,Medium Grid 1 - Accent 21 Char"/>
    <w:link w:val="ListParagraph"/>
    <w:uiPriority w:val="34"/>
    <w:locked/>
    <w:rsid w:val="0015305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7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73D"/>
  </w:style>
  <w:style w:type="paragraph" w:styleId="Footer">
    <w:name w:val="footer"/>
    <w:basedOn w:val="Normal"/>
    <w:link w:val="FooterChar"/>
    <w:uiPriority w:val="99"/>
    <w:unhideWhenUsed/>
    <w:rsid w:val="009F7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73D"/>
  </w:style>
  <w:style w:type="character" w:customStyle="1" w:styleId="Heading1Char">
    <w:name w:val="Heading 1 Char"/>
    <w:basedOn w:val="DefaultParagraphFont"/>
    <w:link w:val="Heading1"/>
    <w:uiPriority w:val="9"/>
    <w:rsid w:val="00484203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84203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84203"/>
    <w:rPr>
      <w:rFonts w:ascii="Arial" w:eastAsia="Times New Roman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484203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84203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84203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8420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484203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484203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1467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Amalia Dobrescu</dc:creator>
  <cp:lastModifiedBy>Ioana Maria Ciocoiu</cp:lastModifiedBy>
  <cp:revision>9</cp:revision>
  <cp:lastPrinted>2016-02-15T11:50:00Z</cp:lastPrinted>
  <dcterms:created xsi:type="dcterms:W3CDTF">2016-02-14T20:28:00Z</dcterms:created>
  <dcterms:modified xsi:type="dcterms:W3CDTF">2016-02-15T13:45:00Z</dcterms:modified>
</cp:coreProperties>
</file>